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847F8D">
      <w:r>
        <w:t>Your Name:</w:t>
      </w:r>
      <w:r w:rsidR="00F06C7B">
        <w:t xml:space="preserve"> </w:t>
      </w:r>
      <w:r w:rsidR="00F06C7B" w:rsidRPr="00F06C7B">
        <w:rPr>
          <w:b/>
          <w:sz w:val="28"/>
          <w:szCs w:val="28"/>
        </w:rPr>
        <w:t>Angela Bys</w:t>
      </w:r>
    </w:p>
    <w:p w:rsidR="006E742D" w:rsidRDefault="006E742D" w:rsidP="00847F8D">
      <w:pPr>
        <w:jc w:val="center"/>
        <w:rPr>
          <w:sz w:val="36"/>
          <w:szCs w:val="36"/>
        </w:rPr>
      </w:pPr>
    </w:p>
    <w:p w:rsidR="00847F8D" w:rsidRDefault="00847F8D" w:rsidP="00847F8D">
      <w:pPr>
        <w:jc w:val="center"/>
        <w:rPr>
          <w:sz w:val="36"/>
          <w:szCs w:val="36"/>
          <w:u w:val="single"/>
        </w:rPr>
      </w:pPr>
      <w:r w:rsidRPr="006E742D">
        <w:rPr>
          <w:sz w:val="36"/>
          <w:szCs w:val="36"/>
          <w:u w:val="single"/>
        </w:rPr>
        <w:t>Resources Collection Assignment</w:t>
      </w:r>
    </w:p>
    <w:p w:rsidR="006E742D" w:rsidRPr="006E742D" w:rsidRDefault="006E742D" w:rsidP="00847F8D">
      <w:pPr>
        <w:jc w:val="center"/>
        <w:rPr>
          <w:sz w:val="36"/>
          <w:szCs w:val="36"/>
          <w:u w:val="single"/>
        </w:rPr>
      </w:pPr>
    </w:p>
    <w:p w:rsidR="00847F8D" w:rsidRDefault="00847F8D" w:rsidP="00847F8D"/>
    <w:tbl>
      <w:tblPr>
        <w:tblStyle w:val="TableGrid"/>
        <w:tblW w:w="0" w:type="auto"/>
        <w:tblLook w:val="04A0"/>
      </w:tblPr>
      <w:tblGrid>
        <w:gridCol w:w="1512"/>
        <w:gridCol w:w="8064"/>
      </w:tblGrid>
      <w:tr w:rsidR="00847F8D" w:rsidTr="00847F8D">
        <w:tc>
          <w:tcPr>
            <w:tcW w:w="1278" w:type="dxa"/>
          </w:tcPr>
          <w:p w:rsidR="00847F8D" w:rsidRDefault="00847F8D" w:rsidP="00847F8D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EE275A" w:rsidRDefault="00EE275A" w:rsidP="004A5CC9">
            <w:pPr>
              <w:jc w:val="center"/>
              <w:rPr>
                <w:b/>
              </w:rPr>
            </w:pPr>
          </w:p>
          <w:p w:rsidR="00B64779" w:rsidRDefault="00B64779" w:rsidP="004A5CC9">
            <w:pPr>
              <w:jc w:val="center"/>
              <w:rPr>
                <w:b/>
              </w:rPr>
            </w:pPr>
          </w:p>
          <w:p w:rsidR="00B64779" w:rsidRDefault="00B64779" w:rsidP="004A5CC9">
            <w:pPr>
              <w:jc w:val="center"/>
              <w:rPr>
                <w:b/>
              </w:rPr>
            </w:pPr>
          </w:p>
          <w:p w:rsidR="00EE275A" w:rsidRDefault="00EE275A" w:rsidP="004A5CC9">
            <w:pPr>
              <w:jc w:val="center"/>
              <w:rPr>
                <w:b/>
              </w:rPr>
            </w:pPr>
            <w:r>
              <w:rPr>
                <w:b/>
              </w:rPr>
              <w:t>National Science Teacher Association</w:t>
            </w:r>
          </w:p>
          <w:p w:rsidR="00EE275A" w:rsidRDefault="00EE275A" w:rsidP="004A5CC9">
            <w:pPr>
              <w:jc w:val="center"/>
              <w:rPr>
                <w:b/>
              </w:rPr>
            </w:pPr>
          </w:p>
          <w:p w:rsidR="00EE275A" w:rsidRDefault="008B5C06" w:rsidP="004A5CC9">
            <w:pPr>
              <w:jc w:val="center"/>
              <w:rPr>
                <w:b/>
              </w:rPr>
            </w:pPr>
            <w:hyperlink r:id="rId9" w:history="1">
              <w:r w:rsidR="00EE275A" w:rsidRPr="00273702">
                <w:rPr>
                  <w:rStyle w:val="Hyperlink"/>
                  <w:b/>
                </w:rPr>
                <w:t>www.nsta.org</w:t>
              </w:r>
            </w:hyperlink>
          </w:p>
          <w:p w:rsidR="00847F8D" w:rsidRPr="00847F8D" w:rsidRDefault="00847F8D" w:rsidP="00847F8D">
            <w:pPr>
              <w:rPr>
                <w:b/>
              </w:rPr>
            </w:pPr>
          </w:p>
        </w:tc>
        <w:tc>
          <w:tcPr>
            <w:tcW w:w="8298" w:type="dxa"/>
          </w:tcPr>
          <w:p w:rsidR="00847F8D" w:rsidRDefault="00847F8D" w:rsidP="00847F8D">
            <w:r>
              <w:t>Description &amp; Summary:</w:t>
            </w:r>
            <w:r w:rsidR="00EE275A">
              <w:t xml:space="preserve"> The National Science Teacher Association is an organization of both teachers and administrators that provides resources for a variety of classrooms. The web-site has published journal articles, lesson plans, conference opportunities for professional development, free resources for teachers, links to virtual web-sites, </w:t>
            </w:r>
            <w:r w:rsidR="003959ED">
              <w:t xml:space="preserve">interactive resources, </w:t>
            </w:r>
            <w:r w:rsidR="00EE275A">
              <w:t xml:space="preserve">and many </w:t>
            </w:r>
            <w:r w:rsidR="003959ED">
              <w:t xml:space="preserve">other </w:t>
            </w:r>
            <w:r w:rsidR="00EE275A">
              <w:t>tools for educators.</w:t>
            </w:r>
          </w:p>
          <w:p w:rsidR="00847F8D" w:rsidRDefault="00847F8D" w:rsidP="00847F8D"/>
          <w:p w:rsidR="00847F8D" w:rsidRDefault="00847F8D" w:rsidP="00847F8D">
            <w:r>
              <w:t>Specific Content Area:</w:t>
            </w:r>
            <w:r w:rsidR="00EE275A">
              <w:t xml:space="preserve"> all content areas</w:t>
            </w:r>
          </w:p>
          <w:p w:rsidR="00847F8D" w:rsidRDefault="00847F8D" w:rsidP="00847F8D"/>
          <w:p w:rsidR="00847F8D" w:rsidRDefault="00847F8D" w:rsidP="00847F8D">
            <w:r>
              <w:t>Appropriate Grade Level(s):</w:t>
            </w:r>
            <w:r w:rsidR="00EE275A">
              <w:t xml:space="preserve"> K-12 </w:t>
            </w:r>
          </w:p>
          <w:p w:rsidR="00847F8D" w:rsidRDefault="00847F8D" w:rsidP="00847F8D"/>
          <w:p w:rsidR="00847F8D" w:rsidRDefault="00847F8D" w:rsidP="00847F8D">
            <w:r>
              <w:t>Best use of/for this resource:</w:t>
            </w:r>
            <w:r w:rsidR="003959ED">
              <w:t xml:space="preserve"> I plan to use this web-site as a starting point to find further resources. It is a great place to get genuine lessons and standards-based activities to use in any classroom. If interested, you could also use this site for professional development to find both conferences and relevant publications.</w:t>
            </w:r>
          </w:p>
          <w:p w:rsidR="003959ED" w:rsidRDefault="003959ED" w:rsidP="00847F8D"/>
          <w:p w:rsidR="00847F8D" w:rsidRDefault="00847F8D" w:rsidP="00847F8D">
            <w:r>
              <w:t>Comments:</w:t>
            </w:r>
            <w:r w:rsidR="003959ED">
              <w:t xml:space="preserve"> Even though a membership is required to access some of the site’s content and publications, the free resources are still of great value.</w:t>
            </w:r>
          </w:p>
          <w:p w:rsidR="00847F8D" w:rsidRDefault="00847F8D" w:rsidP="00847F8D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Default="00847F8D" w:rsidP="0006111F">
            <w:pPr>
              <w:rPr>
                <w:b/>
              </w:rPr>
            </w:pPr>
          </w:p>
          <w:p w:rsidR="00B64779" w:rsidRDefault="00B64779" w:rsidP="0006111F">
            <w:pPr>
              <w:rPr>
                <w:b/>
              </w:rPr>
            </w:pPr>
          </w:p>
          <w:p w:rsidR="00B64779" w:rsidRDefault="00B64779" w:rsidP="0006111F">
            <w:pPr>
              <w:rPr>
                <w:b/>
              </w:rPr>
            </w:pPr>
          </w:p>
          <w:p w:rsidR="00B64779" w:rsidRDefault="00B64779" w:rsidP="0006111F">
            <w:pPr>
              <w:rPr>
                <w:b/>
              </w:rPr>
            </w:pPr>
          </w:p>
          <w:p w:rsidR="00B64779" w:rsidRDefault="00B64779" w:rsidP="0006111F">
            <w:pPr>
              <w:rPr>
                <w:b/>
              </w:rPr>
            </w:pPr>
          </w:p>
          <w:p w:rsidR="00B64779" w:rsidRDefault="00B64779" w:rsidP="0006111F">
            <w:pPr>
              <w:rPr>
                <w:b/>
              </w:rPr>
            </w:pPr>
          </w:p>
          <w:p w:rsidR="00F153EF" w:rsidRDefault="00F153EF" w:rsidP="00B6477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Glencoe-</w:t>
            </w:r>
          </w:p>
          <w:p w:rsidR="00B64779" w:rsidRDefault="00F153EF" w:rsidP="00B64779">
            <w:pPr>
              <w:spacing w:line="360" w:lineRule="auto"/>
              <w:jc w:val="center"/>
              <w:rPr>
                <w:b/>
                <w:u w:val="single"/>
              </w:rPr>
            </w:pPr>
            <w:r w:rsidRPr="00B64779">
              <w:rPr>
                <w:b/>
                <w:u w:val="single"/>
              </w:rPr>
              <w:t xml:space="preserve">Science </w:t>
            </w:r>
          </w:p>
          <w:p w:rsidR="00B64779" w:rsidRDefault="00B64779" w:rsidP="00B64779">
            <w:pPr>
              <w:spacing w:line="360" w:lineRule="auto"/>
              <w:jc w:val="center"/>
              <w:rPr>
                <w:b/>
                <w:u w:val="single"/>
              </w:rPr>
            </w:pPr>
          </w:p>
          <w:p w:rsidR="00F153EF" w:rsidRPr="00847F8D" w:rsidRDefault="00F153EF" w:rsidP="00B64779">
            <w:pPr>
              <w:jc w:val="center"/>
              <w:rPr>
                <w:b/>
              </w:rPr>
            </w:pPr>
            <w:r>
              <w:rPr>
                <w:b/>
              </w:rPr>
              <w:t>(copyright 2003)</w:t>
            </w:r>
          </w:p>
        </w:tc>
        <w:tc>
          <w:tcPr>
            <w:tcW w:w="8298" w:type="dxa"/>
          </w:tcPr>
          <w:p w:rsidR="00847F8D" w:rsidRDefault="00847F8D" w:rsidP="0006111F">
            <w:r>
              <w:t>Description &amp; Summary:</w:t>
            </w:r>
            <w:r w:rsidR="00F153EF">
              <w:t xml:space="preserve"> This textbook is produced by Glencoe/McGraw-Hill and is simply titled </w:t>
            </w:r>
            <w:r w:rsidR="00F153EF" w:rsidRPr="00F153EF">
              <w:rPr>
                <w:u w:val="single"/>
              </w:rPr>
              <w:t>Science</w:t>
            </w:r>
            <w:r w:rsidR="00F153EF">
              <w:t>, with different colors for different grade bands or educational levels. I got this book from Drake’s School of Education library, and I chose this book due to its recent publishing date and correlation to standards. The book of the series that I chose has u</w:t>
            </w:r>
            <w:r w:rsidR="007E7E80">
              <w:t xml:space="preserve">nits for Astronomy, Human Body Systems, Heredity, Conservation of Resources, Weather and Climate, Chemistry of Matter, and Forces and Motion; it also </w:t>
            </w:r>
            <w:r w:rsidR="00962FC2">
              <w:t xml:space="preserve">has outlined standards from </w:t>
            </w:r>
            <w:r w:rsidR="00962FC2" w:rsidRPr="00962FC2">
              <w:rPr>
                <w:u w:val="single"/>
              </w:rPr>
              <w:t>National Science Education Standards</w:t>
            </w:r>
            <w:r w:rsidR="00962FC2">
              <w:t xml:space="preserve">, </w:t>
            </w:r>
            <w:r w:rsidR="007E7E80" w:rsidRPr="007E7E80">
              <w:rPr>
                <w:u w:val="single"/>
              </w:rPr>
              <w:t>Benchmarks for Science Literacy</w:t>
            </w:r>
            <w:r w:rsidR="00962FC2" w:rsidRPr="00962FC2">
              <w:t>,</w:t>
            </w:r>
            <w:r w:rsidR="007E7E80">
              <w:t xml:space="preserve"> and </w:t>
            </w:r>
            <w:r w:rsidR="007E7E80" w:rsidRPr="007E7E80">
              <w:rPr>
                <w:u w:val="single"/>
              </w:rPr>
              <w:t>Principles and Standards for Teachers of Mathematics</w:t>
            </w:r>
            <w:r w:rsidR="007E7E80">
              <w:t xml:space="preserve"> that each unit fulfills.</w:t>
            </w:r>
          </w:p>
          <w:p w:rsidR="00847F8D" w:rsidRDefault="00847F8D" w:rsidP="0006111F"/>
          <w:p w:rsidR="00847F8D" w:rsidRDefault="00847F8D" w:rsidP="0006111F">
            <w:r>
              <w:t>Specific Content Area</w:t>
            </w:r>
            <w:r w:rsidR="00962FC2">
              <w:t>: General Science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  <w:r w:rsidR="00962FC2">
              <w:t xml:space="preserve"> 6</w:t>
            </w:r>
            <w:r w:rsidR="00962FC2" w:rsidRPr="00962FC2">
              <w:rPr>
                <w:vertAlign w:val="superscript"/>
              </w:rPr>
              <w:t>th</w:t>
            </w:r>
            <w:r w:rsidR="00AC54EF">
              <w:t xml:space="preserve"> to 8</w:t>
            </w:r>
            <w:r w:rsidR="00962FC2" w:rsidRPr="00962FC2">
              <w:rPr>
                <w:vertAlign w:val="superscript"/>
              </w:rPr>
              <w:t>th</w:t>
            </w:r>
            <w:r w:rsidR="00962FC2">
              <w:t xml:space="preserve"> grade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  <w:r w:rsidR="006E742D">
              <w:t xml:space="preserve"> The textbook is a great tool for the classroom; the only drawback would</w:t>
            </w:r>
            <w:r w:rsidR="003E6312">
              <w:t xml:space="preserve"> be to make sure it is supplemented by outside resources and </w:t>
            </w:r>
            <w:r w:rsidR="00134DE5">
              <w:t>contains a majority</w:t>
            </w:r>
            <w:r w:rsidR="006E742D">
              <w:t xml:space="preserve"> of the </w:t>
            </w:r>
            <w:r w:rsidR="00134DE5">
              <w:t xml:space="preserve">units necessary to meet the school district’s specific standards </w:t>
            </w:r>
            <w:r w:rsidR="003E6312">
              <w:t xml:space="preserve">and curriculum goals </w:t>
            </w:r>
            <w:r w:rsidR="00134DE5">
              <w:t>for that grade level.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  <w:r w:rsidR="00962FC2">
              <w:t xml:space="preserve"> The book does contain a unit/course overview and the suggested amount of instructional days to be spent on each lesson (although I would not use this exactly, it is a good starting point to outline instruction</w:t>
            </w:r>
            <w:r w:rsidR="00134DE5">
              <w:t>)</w:t>
            </w:r>
            <w:r w:rsidR="00962FC2">
              <w:t>. The book is also produced by National Geographic and contains many excellent pictures.</w:t>
            </w:r>
          </w:p>
          <w:p w:rsidR="00847F8D" w:rsidRDefault="00847F8D" w:rsidP="0006111F"/>
          <w:p w:rsidR="00134DE5" w:rsidRDefault="00134DE5" w:rsidP="0006111F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lastRenderedPageBreak/>
              <w:t>Resource Title:</w:t>
            </w:r>
          </w:p>
          <w:p w:rsidR="00847F8D" w:rsidRDefault="00847F8D" w:rsidP="004A5CC9">
            <w:pPr>
              <w:jc w:val="center"/>
              <w:rPr>
                <w:b/>
              </w:rPr>
            </w:pPr>
          </w:p>
          <w:p w:rsidR="00B64779" w:rsidRDefault="00B64779" w:rsidP="004A5CC9">
            <w:pPr>
              <w:jc w:val="center"/>
              <w:rPr>
                <w:b/>
              </w:rPr>
            </w:pPr>
          </w:p>
          <w:p w:rsidR="00B64779" w:rsidRDefault="00B64779" w:rsidP="004A5CC9">
            <w:pPr>
              <w:jc w:val="center"/>
              <w:rPr>
                <w:b/>
              </w:rPr>
            </w:pPr>
          </w:p>
          <w:p w:rsidR="004A5CC9" w:rsidRDefault="004A5CC9" w:rsidP="00B6477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The Human Body (IMAX)</w:t>
            </w:r>
          </w:p>
          <w:p w:rsidR="004A5CC9" w:rsidRDefault="004A5CC9" w:rsidP="004A5CC9">
            <w:pPr>
              <w:jc w:val="center"/>
              <w:rPr>
                <w:b/>
              </w:rPr>
            </w:pPr>
          </w:p>
          <w:p w:rsidR="004A5CC9" w:rsidRPr="00847F8D" w:rsidRDefault="004A5CC9" w:rsidP="004A5CC9">
            <w:pPr>
              <w:jc w:val="center"/>
              <w:rPr>
                <w:b/>
              </w:rPr>
            </w:pPr>
            <w:r>
              <w:rPr>
                <w:b/>
              </w:rPr>
              <w:t>Produced by: Discovery Pictures &amp;BBC</w:t>
            </w:r>
          </w:p>
        </w:tc>
        <w:tc>
          <w:tcPr>
            <w:tcW w:w="8298" w:type="dxa"/>
          </w:tcPr>
          <w:p w:rsidR="00847F8D" w:rsidRDefault="00847F8D" w:rsidP="0006111F">
            <w:r>
              <w:t>Description &amp; Summary:</w:t>
            </w:r>
            <w:r w:rsidR="004A5CC9">
              <w:t xml:space="preserve"> “The Human Body” is an IMAX film produced by Discovery Pictures &amp; BCC that </w:t>
            </w:r>
            <w:r w:rsidR="004A5CC9" w:rsidRPr="00B14025">
              <w:rPr>
                <w:rFonts w:ascii="Times New Roman" w:hAnsi="Times New Roman" w:cs="Times New Roman"/>
              </w:rPr>
              <w:t>“</w:t>
            </w:r>
            <w:r w:rsidR="004A5CC9" w:rsidRPr="00B14025">
              <w:rPr>
                <w:rFonts w:ascii="Times New Roman" w:hAnsi="Times New Roman" w:cs="Times New Roman"/>
                <w:color w:val="000000"/>
              </w:rPr>
              <w:t>incorporates groundbreaking computer graphics with stunning real-life images to create a day in the life of a human body”. The movie looks not only at the organs and inner-makings of the body, but travels through multiple stages of life even down to the details of different cells. In addition, there is a teacher’s guide that give</w:t>
            </w:r>
            <w:r w:rsidR="00B14025">
              <w:rPr>
                <w:rFonts w:ascii="Times New Roman" w:hAnsi="Times New Roman" w:cs="Times New Roman"/>
                <w:color w:val="000000"/>
              </w:rPr>
              <w:t>s</w:t>
            </w:r>
            <w:r w:rsidR="004A5CC9" w:rsidRPr="00B14025">
              <w:rPr>
                <w:rFonts w:ascii="Times New Roman" w:hAnsi="Times New Roman" w:cs="Times New Roman"/>
                <w:color w:val="000000"/>
              </w:rPr>
              <w:t xml:space="preserve"> teachers activities and learning objectives to go along with the students seeing the movie to make it the most learning beneficial.</w:t>
            </w:r>
          </w:p>
          <w:p w:rsidR="00847F8D" w:rsidRDefault="00847F8D" w:rsidP="0006111F"/>
          <w:p w:rsidR="00847F8D" w:rsidRDefault="00847F8D" w:rsidP="0006111F">
            <w:r>
              <w:t>Specific Content Area:</w:t>
            </w:r>
            <w:r w:rsidR="00B14025">
              <w:t xml:space="preserve"> </w:t>
            </w:r>
            <w:r w:rsidR="003E6312">
              <w:t>Life Science</w:t>
            </w:r>
            <w:r w:rsidR="00B14025">
              <w:t xml:space="preserve"> or Physical Education (study of the human body)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  <w:r w:rsidR="00B14025">
              <w:t xml:space="preserve"> 7-12 (different activities can be adapted for any age level)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  <w:r w:rsidR="00B14025">
              <w:t xml:space="preserve"> The only bad use of this resource would be if the movie was just shown and no activities followed. The movie is a great resource, but to ensure specific educational goals are met, the movie needs further instruction on behalf of the teacher, in which the teacher’s guide is a great starting place.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  <w:r w:rsidR="00B14025">
              <w:t xml:space="preserve"> I really love the activities in the guide, and I think it could be the basis for a great unit. The students would be really engaged by the video</w:t>
            </w:r>
            <w:r w:rsidR="00557E04">
              <w:t xml:space="preserve"> and it would be easier to hold </w:t>
            </w:r>
            <w:r w:rsidR="003E6312">
              <w:t xml:space="preserve">the </w:t>
            </w:r>
            <w:r w:rsidR="00557E04">
              <w:t>student’s attention</w:t>
            </w:r>
            <w:r w:rsidR="00B14025">
              <w:t>; I even learned some things from the activit</w:t>
            </w:r>
            <w:r w:rsidR="00557E04">
              <w:t>i</w:t>
            </w:r>
            <w:r w:rsidR="00B14025">
              <w:t>es</w:t>
            </w:r>
            <w:r w:rsidR="00DF333B">
              <w:t xml:space="preserve"> and was very intrigued</w:t>
            </w:r>
            <w:r w:rsidR="00B14025">
              <w:t>.</w:t>
            </w:r>
          </w:p>
          <w:p w:rsidR="00847F8D" w:rsidRDefault="00847F8D" w:rsidP="0006111F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Default="00847F8D" w:rsidP="0006111F">
            <w:pPr>
              <w:rPr>
                <w:b/>
              </w:rPr>
            </w:pPr>
          </w:p>
          <w:p w:rsidR="00DF333B" w:rsidRDefault="00DF333B" w:rsidP="0006111F">
            <w:pPr>
              <w:rPr>
                <w:b/>
              </w:rPr>
            </w:pPr>
          </w:p>
          <w:p w:rsidR="00AA1D27" w:rsidRDefault="00AA1D27" w:rsidP="0006111F">
            <w:pPr>
              <w:rPr>
                <w:b/>
              </w:rPr>
            </w:pPr>
          </w:p>
          <w:p w:rsidR="00AA1D27" w:rsidRDefault="00AA1D27" w:rsidP="0006111F">
            <w:pPr>
              <w:rPr>
                <w:b/>
              </w:rPr>
            </w:pPr>
          </w:p>
          <w:p w:rsidR="00AA1D27" w:rsidRDefault="00AA1D27" w:rsidP="0006111F">
            <w:pPr>
              <w:rPr>
                <w:b/>
              </w:rPr>
            </w:pPr>
          </w:p>
          <w:p w:rsidR="00EF4E21" w:rsidRPr="00847F8D" w:rsidRDefault="00EF4E21" w:rsidP="00EF4E2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Middle School Activities</w:t>
            </w:r>
          </w:p>
        </w:tc>
        <w:tc>
          <w:tcPr>
            <w:tcW w:w="8298" w:type="dxa"/>
          </w:tcPr>
          <w:p w:rsidR="00EF4E21" w:rsidRDefault="00EF4E21" w:rsidP="0006111F"/>
          <w:p w:rsidR="00EF4E21" w:rsidRDefault="008B5C06" w:rsidP="0006111F">
            <w:hyperlink r:id="rId10" w:history="1">
              <w:r w:rsidR="00EF4E21" w:rsidRPr="00D54837">
                <w:rPr>
                  <w:rStyle w:val="Hyperlink"/>
                </w:rPr>
                <w:t>http://www.reachoutmichigan.org/funexperiments/quick/middlesch.html</w:t>
              </w:r>
            </w:hyperlink>
            <w:r w:rsidR="00EF4E21">
              <w:t xml:space="preserve"> </w:t>
            </w:r>
          </w:p>
          <w:p w:rsidR="00EF4E21" w:rsidRDefault="00EF4E21" w:rsidP="0006111F"/>
          <w:p w:rsidR="00847F8D" w:rsidRDefault="00847F8D" w:rsidP="0006111F">
            <w:r>
              <w:t>Description &amp; Summary:</w:t>
            </w:r>
            <w:r w:rsidR="00EF4E21">
              <w:t xml:space="preserve"> This site contains 150 experiments and lessons for middle school science classrooms. These lessons have been designed and used by current teachers </w:t>
            </w:r>
            <w:r w:rsidR="00AA1D27">
              <w:t>and outside resources, so</w:t>
            </w:r>
            <w:r w:rsidR="00EF4E21">
              <w:t xml:space="preserve"> the collection is very inclusive of different topics. Although the discussion questions commonly need to be adjusted to meet specific content goals, the labs/activities are great ideas and practical illustrations of content standards.</w:t>
            </w:r>
          </w:p>
          <w:p w:rsidR="00847F8D" w:rsidRDefault="00847F8D" w:rsidP="0006111F"/>
          <w:p w:rsidR="00847F8D" w:rsidRDefault="00847F8D" w:rsidP="0006111F">
            <w:r>
              <w:t>Specific Content Area:</w:t>
            </w:r>
            <w:r w:rsidR="00EF4E21">
              <w:t xml:space="preserve"> all content areas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  <w:r w:rsidR="00EF4E21">
              <w:t xml:space="preserve"> middle school grades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  <w:r w:rsidR="00EF4E21">
              <w:t xml:space="preserve"> The lessons should be used to </w:t>
            </w:r>
            <w:r w:rsidR="00AA1D27">
              <w:t>generate ideas of how to incorporate labs and hands-on learning in instruction, but they will need to be tailored to insure that specific standards are met (labs should have a purpose).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</w:p>
          <w:p w:rsidR="00847F8D" w:rsidRDefault="00847F8D" w:rsidP="0006111F"/>
        </w:tc>
      </w:tr>
    </w:tbl>
    <w:p w:rsidR="00847F8D" w:rsidRPr="00847F8D" w:rsidRDefault="00847F8D" w:rsidP="00847F8D"/>
    <w:sectPr w:rsidR="00847F8D" w:rsidRPr="00847F8D" w:rsidSect="00FB0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26B"/>
    <w:multiLevelType w:val="hybridMultilevel"/>
    <w:tmpl w:val="C48E3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C51343"/>
    <w:multiLevelType w:val="hybridMultilevel"/>
    <w:tmpl w:val="7EC26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EB4F85"/>
    <w:multiLevelType w:val="hybridMultilevel"/>
    <w:tmpl w:val="EF66E34E"/>
    <w:lvl w:ilvl="0" w:tplc="040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47F8D"/>
    <w:rsid w:val="00134DE5"/>
    <w:rsid w:val="00142E57"/>
    <w:rsid w:val="00206B43"/>
    <w:rsid w:val="00352699"/>
    <w:rsid w:val="003959ED"/>
    <w:rsid w:val="003E6312"/>
    <w:rsid w:val="00414F1F"/>
    <w:rsid w:val="00463860"/>
    <w:rsid w:val="004A5CC9"/>
    <w:rsid w:val="004B1922"/>
    <w:rsid w:val="00557E04"/>
    <w:rsid w:val="0059482B"/>
    <w:rsid w:val="005C760F"/>
    <w:rsid w:val="00671B5D"/>
    <w:rsid w:val="006E742D"/>
    <w:rsid w:val="006E78EF"/>
    <w:rsid w:val="007E7E80"/>
    <w:rsid w:val="00847F8D"/>
    <w:rsid w:val="0088763D"/>
    <w:rsid w:val="008B5C06"/>
    <w:rsid w:val="008C25BF"/>
    <w:rsid w:val="00944E3E"/>
    <w:rsid w:val="00947E4E"/>
    <w:rsid w:val="0095498B"/>
    <w:rsid w:val="00962FC2"/>
    <w:rsid w:val="00A249F5"/>
    <w:rsid w:val="00AA1D27"/>
    <w:rsid w:val="00AA7A8C"/>
    <w:rsid w:val="00AC54EF"/>
    <w:rsid w:val="00B14025"/>
    <w:rsid w:val="00B20BC3"/>
    <w:rsid w:val="00B64779"/>
    <w:rsid w:val="00D3725F"/>
    <w:rsid w:val="00D627CB"/>
    <w:rsid w:val="00DF333B"/>
    <w:rsid w:val="00E24DD2"/>
    <w:rsid w:val="00E56D34"/>
    <w:rsid w:val="00E65D9B"/>
    <w:rsid w:val="00EE275A"/>
    <w:rsid w:val="00EF4E21"/>
    <w:rsid w:val="00F06C7B"/>
    <w:rsid w:val="00F153EF"/>
    <w:rsid w:val="00F22FFA"/>
    <w:rsid w:val="00F67EC9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B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6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www.reachoutmichigan.org/funexperiments/quick/middlesch.htm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nst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ACCC-DBE6-490C-9F88-4C11EE33FF0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E7D6E6-04B3-463B-9220-A31A53642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97BF7E-0A85-44F7-AE14-E74EDAC3B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047311-6B99-4E93-8A0A-2F68E3BC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Angela Bys</cp:lastModifiedBy>
  <cp:revision>13</cp:revision>
  <dcterms:created xsi:type="dcterms:W3CDTF">2010-04-21T23:00:00Z</dcterms:created>
  <dcterms:modified xsi:type="dcterms:W3CDTF">2010-04-27T20:54:00Z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